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 xml:space="preserve">Протокол </w:t>
      </w:r>
    </w:p>
    <w:p w14:paraId="1E7705B5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EFDA693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                </w:t>
            </w:r>
            <w:r w:rsidR="002064F7" w:rsidRPr="00222E03">
              <w:rPr>
                <w:sz w:val="22"/>
                <w:szCs w:val="22"/>
              </w:rPr>
              <w:t xml:space="preserve">         </w:t>
            </w:r>
            <w:r w:rsidRPr="00222E03">
              <w:rPr>
                <w:sz w:val="22"/>
                <w:szCs w:val="22"/>
              </w:rPr>
              <w:t>«</w:t>
            </w:r>
            <w:r w:rsidR="0047004A">
              <w:rPr>
                <w:sz w:val="22"/>
                <w:szCs w:val="22"/>
              </w:rPr>
              <w:t>29</w:t>
            </w:r>
            <w:r w:rsidRPr="00222E03">
              <w:rPr>
                <w:sz w:val="22"/>
                <w:szCs w:val="22"/>
              </w:rPr>
              <w:t xml:space="preserve">» </w:t>
            </w:r>
            <w:r w:rsidR="0047004A">
              <w:rPr>
                <w:sz w:val="22"/>
                <w:szCs w:val="22"/>
              </w:rPr>
              <w:t>декабря</w:t>
            </w:r>
            <w:r w:rsidRPr="00222E03">
              <w:rPr>
                <w:sz w:val="22"/>
                <w:szCs w:val="22"/>
              </w:rPr>
              <w:t xml:space="preserve"> 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41743DC6" w:rsidR="00551F5D" w:rsidRPr="00222E03" w:rsidRDefault="00551F5D" w:rsidP="00222E03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4E149A58" w:rsidR="002064F7" w:rsidRPr="00222E03" w:rsidRDefault="001808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 xml:space="preserve">рассмотрение предложения о выборе способа закупки по </w:t>
      </w:r>
      <w:r w:rsidR="001A0C35" w:rsidRPr="00222E03">
        <w:rPr>
          <w:sz w:val="22"/>
          <w:szCs w:val="22"/>
        </w:rPr>
        <w:t>Договор</w:t>
      </w:r>
      <w:r w:rsidR="00BC6993" w:rsidRPr="00222E03">
        <w:rPr>
          <w:sz w:val="22"/>
          <w:szCs w:val="22"/>
        </w:rPr>
        <w:t>у</w:t>
      </w:r>
      <w:r w:rsidR="002534A1" w:rsidRPr="00222E03">
        <w:rPr>
          <w:sz w:val="22"/>
          <w:szCs w:val="22"/>
        </w:rPr>
        <w:t xml:space="preserve"> с ООО «Яндекс»</w:t>
      </w:r>
      <w:r w:rsidR="001A0C35" w:rsidRPr="00222E03">
        <w:rPr>
          <w:sz w:val="22"/>
          <w:szCs w:val="22"/>
        </w:rPr>
        <w:t xml:space="preserve"> </w:t>
      </w:r>
      <w:r w:rsidR="00476125" w:rsidRPr="00222E03">
        <w:rPr>
          <w:sz w:val="22"/>
          <w:szCs w:val="22"/>
        </w:rPr>
        <w:t xml:space="preserve">на </w:t>
      </w:r>
      <w:r w:rsidR="00927F23" w:rsidRPr="00222E03">
        <w:rPr>
          <w:sz w:val="22"/>
          <w:szCs w:val="22"/>
        </w:rPr>
        <w:t xml:space="preserve">оказание </w:t>
      </w:r>
      <w:r w:rsidR="002064F7" w:rsidRPr="00222E03">
        <w:rPr>
          <w:sz w:val="22"/>
          <w:szCs w:val="22"/>
        </w:rPr>
        <w:t>следующи</w:t>
      </w:r>
      <w:r w:rsidR="00927F23" w:rsidRPr="00222E03">
        <w:rPr>
          <w:sz w:val="22"/>
          <w:szCs w:val="22"/>
        </w:rPr>
        <w:t>х</w:t>
      </w:r>
      <w:r w:rsidR="002064F7" w:rsidRPr="00222E03">
        <w:rPr>
          <w:sz w:val="22"/>
          <w:szCs w:val="22"/>
        </w:rPr>
        <w:t xml:space="preserve"> </w:t>
      </w:r>
      <w:r w:rsidR="001A0C35" w:rsidRPr="00222E03">
        <w:rPr>
          <w:sz w:val="22"/>
          <w:szCs w:val="22"/>
        </w:rPr>
        <w:t>услуг</w:t>
      </w:r>
      <w:r w:rsidR="002064F7" w:rsidRPr="00222E03">
        <w:rPr>
          <w:sz w:val="22"/>
          <w:szCs w:val="22"/>
        </w:rPr>
        <w:t>:</w:t>
      </w:r>
      <w:r w:rsidR="00BC6993" w:rsidRPr="00222E03">
        <w:rPr>
          <w:sz w:val="22"/>
          <w:szCs w:val="22"/>
        </w:rPr>
        <w:t xml:space="preserve"> возмездное оказание услуг «</w:t>
      </w:r>
      <w:proofErr w:type="spellStart"/>
      <w:r w:rsidR="00BC6993" w:rsidRPr="00222E03">
        <w:rPr>
          <w:sz w:val="22"/>
          <w:szCs w:val="22"/>
        </w:rPr>
        <w:t>Яндекс.Директ</w:t>
      </w:r>
      <w:proofErr w:type="spellEnd"/>
      <w:r w:rsidR="00BC6993" w:rsidRPr="00222E03">
        <w:rPr>
          <w:sz w:val="22"/>
          <w:szCs w:val="22"/>
        </w:rPr>
        <w:t>» на условиях Оферты в пользу Заказчика.</w:t>
      </w:r>
    </w:p>
    <w:p w14:paraId="5B3AF27C" w14:textId="5589B7AE" w:rsidR="00551F5D" w:rsidRPr="00222E03" w:rsidRDefault="00180861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650E93D1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Председатель комиссии:</w:t>
      </w:r>
    </w:p>
    <w:p w14:paraId="7B49A545" w14:textId="6CFE144F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="00D9060C" w:rsidRPr="00053420">
        <w:rPr>
          <w:rFonts w:eastAsiaTheme="minorEastAsia"/>
          <w:sz w:val="22"/>
          <w:szCs w:val="22"/>
          <w:highlight w:val="black"/>
          <w:lang w:eastAsia="ru-RU"/>
        </w:rPr>
        <w:t>Кушнир Елена Викторовна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 xml:space="preserve"> (вице-президент)</w:t>
      </w:r>
    </w:p>
    <w:p w14:paraId="53563AEE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Члены комиссии:</w:t>
      </w:r>
    </w:p>
    <w:p w14:paraId="2E1FA7D6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Мальков Александр Васильевич (руководитель службы безопасности и правовой экспертизы)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0F767B63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Чёрный Артём Петрович (начальник юридического отдела)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4F6832BF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Кушникова Светлана Александровна (бухгалтер)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6B6FA28D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Усатова Надежда Владимировна (ведущий специалист финансового отдела)</w:t>
      </w:r>
    </w:p>
    <w:p w14:paraId="34BBDAE8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Секретарь комиссии:</w:t>
      </w:r>
    </w:p>
    <w:p w14:paraId="7A7972A7" w14:textId="77777777" w:rsidR="00D9060C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Кулешова Юлия Римантовна (начальник общего отдела)</w:t>
      </w:r>
      <w:r w:rsidR="00D9060C">
        <w:rPr>
          <w:rFonts w:eastAsiaTheme="minorEastAsia"/>
          <w:sz w:val="22"/>
          <w:szCs w:val="22"/>
          <w:lang w:eastAsia="ru-RU"/>
        </w:rPr>
        <w:t xml:space="preserve"> </w:t>
      </w:r>
    </w:p>
    <w:p w14:paraId="5D8EEFC3" w14:textId="6EC44434" w:rsidR="00551F5D" w:rsidRPr="00222E03" w:rsidRDefault="00551F5D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6CA34E62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DE5489">
        <w:rPr>
          <w:sz w:val="22"/>
          <w:szCs w:val="22"/>
        </w:rPr>
        <w:t>29</w:t>
      </w:r>
      <w:r w:rsidR="00551F5D" w:rsidRPr="00222E03">
        <w:rPr>
          <w:sz w:val="22"/>
          <w:szCs w:val="22"/>
        </w:rPr>
        <w:t xml:space="preserve">» </w:t>
      </w:r>
      <w:r w:rsidR="00DE5489">
        <w:rPr>
          <w:sz w:val="22"/>
          <w:szCs w:val="22"/>
        </w:rPr>
        <w:t>декабря</w:t>
      </w:r>
      <w:r w:rsidR="0033684C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DE5489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060447A9" w14:textId="1F30814C" w:rsidR="00551F5D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6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47004A" w:rsidRPr="00053420">
        <w:rPr>
          <w:sz w:val="22"/>
          <w:szCs w:val="22"/>
          <w:highlight w:val="black"/>
        </w:rPr>
        <w:t xml:space="preserve">Шарапову Римму </w:t>
      </w:r>
      <w:proofErr w:type="spellStart"/>
      <w:r w:rsidR="0047004A" w:rsidRPr="00053420">
        <w:rPr>
          <w:sz w:val="22"/>
          <w:szCs w:val="22"/>
          <w:highlight w:val="black"/>
        </w:rPr>
        <w:t>Айдаровну</w:t>
      </w:r>
      <w:proofErr w:type="spellEnd"/>
      <w:r w:rsidR="0047004A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6356EA16" w14:textId="17151AB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 xml:space="preserve">В Стратегии развития фонда важная роль отводится развитию цифровых каналов для привлечения новых клиентов и </w:t>
      </w:r>
      <w:proofErr w:type="spellStart"/>
      <w:r w:rsidRPr="0047004A">
        <w:rPr>
          <w:sz w:val="22"/>
          <w:szCs w:val="22"/>
        </w:rPr>
        <w:t>постпродажного</w:t>
      </w:r>
      <w:proofErr w:type="spellEnd"/>
      <w:r w:rsidRPr="0047004A">
        <w:rPr>
          <w:sz w:val="22"/>
          <w:szCs w:val="22"/>
        </w:rPr>
        <w:t xml:space="preserve"> взаимодействия. Число посетителей сайта должно достигать 60 000 человек в год, число заключенных онлайн-договоров - 150 в год, число подписчиков в социальных сетях увеличиться на 15% в год, общий охват постов - 2 млн.</w:t>
      </w:r>
    </w:p>
    <w:p w14:paraId="17EF0C61" w14:textId="1FADEC4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Для достижения данных показателей используются различные сервисы продвижения услуг фонда в интернете. Одним из самых важных инструментов является рекламная сеть «Яндекс» (РСЯ). Это монополист, который даёт возможность размещения рекламы на миллионах сайтов, мобильных приложений и на одноимённом поисковике «Яндекс». Средняя совокупная аудитория составляет около 85 миллионов пользователей в день. Ничего подобного в России предложить никто, кроме РСЯ, не может.</w:t>
      </w:r>
    </w:p>
    <w:p w14:paraId="39817627" w14:textId="6E4EB39D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При показе рекламы РСЯ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7BF62F2C" w14:textId="5C4D7AF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 xml:space="preserve">Для определения месячного бюджета используется встроенный в систему </w:t>
      </w:r>
      <w:proofErr w:type="spellStart"/>
      <w:r w:rsidRPr="0047004A">
        <w:rPr>
          <w:sz w:val="22"/>
          <w:szCs w:val="22"/>
        </w:rPr>
        <w:t>Яндекс.Директ</w:t>
      </w:r>
      <w:proofErr w:type="spellEnd"/>
      <w:r w:rsidRPr="0047004A">
        <w:rPr>
          <w:sz w:val="22"/>
          <w:szCs w:val="22"/>
        </w:rPr>
        <w:t xml:space="preserve"> сервис «Оценка бюджета рекламной кампании». После введения в сервис необходимых параметров (регион показа, площадки для показа, объем трафика и ключевые фразы) он рассчитывает примерный бюджет. С учетом параметров, необходимых для достижения плановых показателей фонда, сервис предоставил информацию:</w:t>
      </w:r>
    </w:p>
    <w:p w14:paraId="7DA3BA7E" w14:textId="2373CD38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 xml:space="preserve">«Чтобы провести рекламную кампанию в </w:t>
      </w:r>
      <w:proofErr w:type="spellStart"/>
      <w:r w:rsidRPr="0047004A">
        <w:rPr>
          <w:sz w:val="22"/>
          <w:szCs w:val="22"/>
        </w:rPr>
        <w:t>Яндекс.Директ</w:t>
      </w:r>
      <w:proofErr w:type="spellEnd"/>
      <w:r w:rsidRPr="0047004A">
        <w:rPr>
          <w:sz w:val="22"/>
          <w:szCs w:val="22"/>
        </w:rPr>
        <w:t xml:space="preserve"> по всем подобранным ключевым фразам на указанный в параметрах расчета период 30 дней, потребуется примерно:</w:t>
      </w:r>
    </w:p>
    <w:p w14:paraId="7F259774" w14:textId="2C94B59C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54 330.00 руб. с ориентацией на выбранный объём трафика - 90%.</w:t>
      </w:r>
    </w:p>
    <w:p w14:paraId="37323955" w14:textId="6007FA76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В частных случаях:</w:t>
      </w:r>
    </w:p>
    <w:p w14:paraId="305E4D7A" w14:textId="2D206413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62 480.30 руб. с ориентацией на объём трафика 100%,</w:t>
      </w:r>
    </w:p>
    <w:p w14:paraId="1C105695" w14:textId="4EABF34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41 160.50 руб. с ориентацией на объём трафика 85%,</w:t>
      </w:r>
    </w:p>
    <w:p w14:paraId="70410E8D" w14:textId="35A01A5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32 093.60 руб. с ориентацией на объём трафика 62%,</w:t>
      </w:r>
    </w:p>
    <w:p w14:paraId="2083286C" w14:textId="5A1E927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13 325.50 руб. с ориентацией на объём трафика 9%,</w:t>
      </w:r>
    </w:p>
    <w:p w14:paraId="759A0CE9" w14:textId="61E6589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8 289.90 руб. - на объём трафика 5%.</w:t>
      </w:r>
    </w:p>
    <w:p w14:paraId="1B7A3784" w14:textId="5CE185E0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Суммы без учёта НДС 20%».</w:t>
      </w:r>
    </w:p>
    <w:p w14:paraId="3AB09453" w14:textId="7777777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Приведенный расчет затрат на рекламные кампании показывает, что для эффективного продвижения продуктов фонда, привлечения новых клиентов и заключения договоров необходим бюджет в размере 852 000 руб. в год, включая НДС.</w:t>
      </w:r>
    </w:p>
    <w:p w14:paraId="23371809" w14:textId="7777777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</w:p>
    <w:p w14:paraId="337AECBC" w14:textId="77777777" w:rsid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Поскольку никто на рынке интернет-рекламы не может обеспечить такое же количество посетителей, площадок для размещения и каналов продвижения, как РСЯ,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1DCEF557" w:rsidR="00890594" w:rsidRPr="00222E03" w:rsidRDefault="00890594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 xml:space="preserve">Закупка у единственного поставщика» на основании </w:t>
      </w:r>
      <w:r w:rsidR="001500C2">
        <w:rPr>
          <w:rFonts w:eastAsia="Times New Roman"/>
        </w:rPr>
        <w:t xml:space="preserve">абзаца  </w:t>
      </w:r>
      <w:r w:rsidR="001500C2" w:rsidRPr="00222E03">
        <w:rPr>
          <w:rFonts w:eastAsia="Times New Roman"/>
        </w:rPr>
        <w:t>а)</w:t>
      </w:r>
      <w:r w:rsidR="001500C2">
        <w:rPr>
          <w:rFonts w:eastAsia="Times New Roman"/>
        </w:rPr>
        <w:t xml:space="preserve"> пп</w:t>
      </w:r>
      <w:r w:rsidR="001500C2" w:rsidRPr="00222E03">
        <w:rPr>
          <w:rFonts w:eastAsia="Times New Roman"/>
        </w:rPr>
        <w:t xml:space="preserve">.5 </w:t>
      </w:r>
      <w:r w:rsidR="00927F23" w:rsidRPr="00222E03">
        <w:rPr>
          <w:color w:val="161316"/>
          <w:sz w:val="22"/>
          <w:szCs w:val="22"/>
        </w:rPr>
        <w:t xml:space="preserve"> пункта 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6</w:t>
      </w:r>
      <w:r w:rsidR="00551F5D" w:rsidRPr="00222E03">
        <w:rPr>
          <w:sz w:val="22"/>
          <w:szCs w:val="22"/>
        </w:rPr>
        <w:t xml:space="preserve">. Существенными условиями </w:t>
      </w:r>
      <w:r w:rsidR="005B4028" w:rsidRPr="00222E03">
        <w:rPr>
          <w:sz w:val="22"/>
          <w:szCs w:val="22"/>
        </w:rPr>
        <w:t>закупки</w:t>
      </w:r>
      <w:r w:rsidR="00551F5D" w:rsidRPr="00222E03">
        <w:rPr>
          <w:sz w:val="22"/>
          <w:szCs w:val="22"/>
        </w:rPr>
        <w:t xml:space="preserve"> явля</w:t>
      </w:r>
      <w:r w:rsidR="005B4028" w:rsidRPr="00222E03">
        <w:rPr>
          <w:sz w:val="22"/>
          <w:szCs w:val="22"/>
        </w:rPr>
        <w:t>ю</w:t>
      </w:r>
      <w:r w:rsidR="00551F5D" w:rsidRPr="00222E03">
        <w:rPr>
          <w:sz w:val="22"/>
          <w:szCs w:val="22"/>
        </w:rPr>
        <w:t>тся:</w:t>
      </w:r>
    </w:p>
    <w:p w14:paraId="7207F4E9" w14:textId="2F00BD7B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Цена –</w:t>
      </w:r>
      <w:r w:rsidR="00891507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8</w:t>
      </w:r>
      <w:r w:rsidR="00482560">
        <w:rPr>
          <w:sz w:val="22"/>
          <w:szCs w:val="22"/>
        </w:rPr>
        <w:t>52</w:t>
      </w:r>
      <w:r w:rsidR="00743B61" w:rsidRPr="00222E03">
        <w:rPr>
          <w:sz w:val="22"/>
          <w:szCs w:val="22"/>
        </w:rPr>
        <w:t xml:space="preserve"> 0</w:t>
      </w:r>
      <w:r w:rsidR="006B3622" w:rsidRPr="00222E03">
        <w:rPr>
          <w:sz w:val="22"/>
          <w:szCs w:val="22"/>
        </w:rPr>
        <w:t>00 (</w:t>
      </w:r>
      <w:r w:rsidR="00743B61" w:rsidRPr="00222E03">
        <w:rPr>
          <w:sz w:val="22"/>
          <w:szCs w:val="22"/>
        </w:rPr>
        <w:t xml:space="preserve">восемьсот </w:t>
      </w:r>
      <w:r w:rsidR="00482560">
        <w:rPr>
          <w:sz w:val="22"/>
          <w:szCs w:val="22"/>
        </w:rPr>
        <w:t>пятьдесят две)</w:t>
      </w:r>
      <w:r w:rsidR="006B3622" w:rsidRPr="00222E03">
        <w:rPr>
          <w:sz w:val="22"/>
          <w:szCs w:val="22"/>
        </w:rPr>
        <w:t xml:space="preserve"> рублей.</w:t>
      </w:r>
    </w:p>
    <w:p w14:paraId="364B9511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Порядок оплаты – </w:t>
      </w:r>
      <w:r w:rsidR="00891507" w:rsidRPr="00222E03">
        <w:rPr>
          <w:sz w:val="22"/>
          <w:szCs w:val="22"/>
        </w:rPr>
        <w:t>безналичный расчет</w:t>
      </w:r>
    </w:p>
    <w:p w14:paraId="0CA281EC" w14:textId="1E4FE376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Срок оказания услуг – </w:t>
      </w:r>
      <w:r w:rsidR="00DE5489" w:rsidRPr="00DE5489">
        <w:rPr>
          <w:sz w:val="22"/>
          <w:szCs w:val="22"/>
        </w:rPr>
        <w:t>10</w:t>
      </w:r>
      <w:r w:rsidR="00891507" w:rsidRPr="00DE5489">
        <w:rPr>
          <w:sz w:val="22"/>
          <w:szCs w:val="22"/>
        </w:rPr>
        <w:t>.</w:t>
      </w:r>
      <w:r w:rsidR="00743B61" w:rsidRPr="00DE5489">
        <w:rPr>
          <w:sz w:val="22"/>
          <w:szCs w:val="22"/>
        </w:rPr>
        <w:t>01.</w:t>
      </w:r>
      <w:r w:rsidR="00891507" w:rsidRPr="00DE5489">
        <w:rPr>
          <w:sz w:val="22"/>
          <w:szCs w:val="22"/>
        </w:rPr>
        <w:t>20</w:t>
      </w:r>
      <w:r w:rsidR="00DE6879" w:rsidRPr="00DE5489">
        <w:rPr>
          <w:sz w:val="22"/>
          <w:szCs w:val="22"/>
        </w:rPr>
        <w:t>2</w:t>
      </w:r>
      <w:r w:rsidR="00DE5489" w:rsidRPr="00DE5489">
        <w:rPr>
          <w:sz w:val="22"/>
          <w:szCs w:val="22"/>
        </w:rPr>
        <w:t>4</w:t>
      </w:r>
      <w:r w:rsidR="00891507" w:rsidRPr="00DE5489">
        <w:rPr>
          <w:sz w:val="22"/>
          <w:szCs w:val="22"/>
        </w:rPr>
        <w:t>-31.</w:t>
      </w:r>
      <w:r w:rsidR="00DE6879" w:rsidRPr="00DE5489">
        <w:rPr>
          <w:sz w:val="22"/>
          <w:szCs w:val="22"/>
        </w:rPr>
        <w:t>12</w:t>
      </w:r>
      <w:r w:rsidR="00891507" w:rsidRPr="00DE5489">
        <w:rPr>
          <w:sz w:val="22"/>
          <w:szCs w:val="22"/>
        </w:rPr>
        <w:t>.20</w:t>
      </w:r>
      <w:r w:rsidR="00600B7E" w:rsidRPr="00DE5489">
        <w:rPr>
          <w:sz w:val="22"/>
          <w:szCs w:val="22"/>
        </w:rPr>
        <w:t>2</w:t>
      </w:r>
      <w:r w:rsidR="00DE5489" w:rsidRPr="00DE5489">
        <w:rPr>
          <w:sz w:val="22"/>
          <w:szCs w:val="22"/>
        </w:rPr>
        <w:t>4</w:t>
      </w:r>
    </w:p>
    <w:p w14:paraId="515EFEEB" w14:textId="77777777" w:rsidR="00C91D78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016E452" w:rsidR="00743B61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ООО «Яндекс» на оказание следующих услуг</w:t>
      </w:r>
      <w:r w:rsidR="00A73FEF" w:rsidRPr="00222E03">
        <w:rPr>
          <w:sz w:val="22"/>
          <w:szCs w:val="22"/>
        </w:rPr>
        <w:t xml:space="preserve"> «</w:t>
      </w:r>
      <w:proofErr w:type="spellStart"/>
      <w:r w:rsidR="00A73FEF" w:rsidRPr="00222E03">
        <w:rPr>
          <w:sz w:val="22"/>
          <w:szCs w:val="22"/>
        </w:rPr>
        <w:t>Яндекс.Директ</w:t>
      </w:r>
      <w:proofErr w:type="spellEnd"/>
      <w:r w:rsidR="00A73FEF" w:rsidRPr="00222E03">
        <w:rPr>
          <w:sz w:val="22"/>
          <w:szCs w:val="22"/>
        </w:rPr>
        <w:t xml:space="preserve">», согласно пункту 2 настоящего Протокола </w:t>
      </w:r>
      <w:r w:rsidR="00743B61" w:rsidRPr="00222E03">
        <w:rPr>
          <w:sz w:val="22"/>
          <w:szCs w:val="22"/>
        </w:rPr>
        <w:t>на условиях Оферты в пользу Заказчика.</w:t>
      </w:r>
    </w:p>
    <w:p w14:paraId="26DBB0E4" w14:textId="77777777" w:rsidR="00551F5D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7.2. </w:t>
      </w:r>
      <w:r w:rsidR="00551F5D" w:rsidRPr="00222E03">
        <w:rPr>
          <w:sz w:val="22"/>
          <w:szCs w:val="22"/>
        </w:rPr>
        <w:t>Определить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4B613A6F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</w:t>
      </w:r>
      <w:bookmarkStart w:id="0" w:name="_Hlk155961349"/>
      <w:r w:rsidRPr="00222E03">
        <w:rPr>
          <w:rFonts w:ascii="Times New Roman" w:eastAsia="Times New Roman" w:hAnsi="Times New Roman" w:cs="Times New Roman"/>
        </w:rPr>
        <w:t>с</w:t>
      </w:r>
      <w:r w:rsidR="001500C2">
        <w:rPr>
          <w:rFonts w:ascii="Times New Roman" w:eastAsia="Times New Roman" w:hAnsi="Times New Roman" w:cs="Times New Roman"/>
        </w:rPr>
        <w:t xml:space="preserve"> абзацем </w:t>
      </w:r>
      <w:r w:rsidR="00ED5E08" w:rsidRPr="00222E03">
        <w:rPr>
          <w:rFonts w:ascii="Times New Roman" w:eastAsia="Times New Roman" w:hAnsi="Times New Roman" w:cs="Times New Roman"/>
        </w:rPr>
        <w:t>а</w:t>
      </w:r>
      <w:r w:rsidRPr="00222E03">
        <w:rPr>
          <w:rFonts w:ascii="Times New Roman" w:eastAsia="Times New Roman" w:hAnsi="Times New Roman" w:cs="Times New Roman"/>
        </w:rPr>
        <w:t>)</w:t>
      </w:r>
      <w:r w:rsidR="001500C2">
        <w:rPr>
          <w:rFonts w:ascii="Times New Roman" w:eastAsia="Times New Roman" w:hAnsi="Times New Roman" w:cs="Times New Roman"/>
        </w:rPr>
        <w:t xml:space="preserve"> пп</w:t>
      </w:r>
      <w:r w:rsidRPr="00222E03">
        <w:rPr>
          <w:rFonts w:ascii="Times New Roman" w:eastAsia="Times New Roman" w:hAnsi="Times New Roman" w:cs="Times New Roman"/>
        </w:rPr>
        <w:t xml:space="preserve">.5 </w:t>
      </w:r>
      <w:bookmarkEnd w:id="0"/>
      <w:r w:rsidRPr="00222E03">
        <w:rPr>
          <w:rFonts w:ascii="Times New Roman" w:eastAsia="Times New Roman" w:hAnsi="Times New Roman" w:cs="Times New Roman"/>
        </w:rPr>
        <w:t>пункта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C0B829F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</w:t>
      </w:r>
      <w:r w:rsidRPr="00222E03">
        <w:rPr>
          <w:rFonts w:ascii="Times New Roman" w:hAnsi="Times New Roman" w:cs="Times New Roman"/>
        </w:rPr>
        <w:t xml:space="preserve"> </w:t>
      </w:r>
      <w:r w:rsidR="00ED5E08" w:rsidRPr="00222E03">
        <w:rPr>
          <w:rFonts w:ascii="Times New Roman" w:hAnsi="Times New Roman" w:cs="Times New Roman"/>
        </w:rPr>
        <w:t>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7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5EA9E7C5" w14:textId="534761A2" w:rsidR="0047004A" w:rsidRPr="0047004A" w:rsidRDefault="00551F5D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Председатель комиссии: </w:t>
      </w:r>
      <w:r w:rsidR="00D9060C" w:rsidRPr="00053420">
        <w:rPr>
          <w:rFonts w:ascii="Times New Roman" w:hAnsi="Times New Roman" w:cs="Times New Roman"/>
          <w:highlight w:val="black"/>
        </w:rPr>
        <w:t xml:space="preserve">Кушнир Елена </w:t>
      </w:r>
      <w:proofErr w:type="gramStart"/>
      <w:r w:rsidR="00D9060C" w:rsidRPr="00053420">
        <w:rPr>
          <w:rFonts w:ascii="Times New Roman" w:hAnsi="Times New Roman" w:cs="Times New Roman"/>
          <w:highlight w:val="black"/>
        </w:rPr>
        <w:t>Викторовна</w:t>
      </w:r>
      <w:r w:rsidR="0047004A" w:rsidRPr="0047004A">
        <w:rPr>
          <w:rFonts w:ascii="Times New Roman" w:hAnsi="Times New Roman" w:cs="Times New Roman"/>
        </w:rPr>
        <w:t xml:space="preserve">  _</w:t>
      </w:r>
      <w:proofErr w:type="gramEnd"/>
      <w:r w:rsidR="0047004A" w:rsidRPr="0047004A">
        <w:rPr>
          <w:rFonts w:ascii="Times New Roman" w:hAnsi="Times New Roman" w:cs="Times New Roman"/>
        </w:rPr>
        <w:t>_________________________</w:t>
      </w:r>
    </w:p>
    <w:p w14:paraId="372D4C21" w14:textId="7777777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FCE667A" w14:textId="7777777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7004A">
        <w:rPr>
          <w:rFonts w:ascii="Times New Roman" w:hAnsi="Times New Roman" w:cs="Times New Roman"/>
        </w:rPr>
        <w:t xml:space="preserve">Члены комиссии:  </w:t>
      </w:r>
    </w:p>
    <w:p w14:paraId="0C3E4405" w14:textId="1AD5B239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Мальков Александр Васильевич</w:t>
      </w:r>
      <w:r w:rsidRPr="0047004A">
        <w:rPr>
          <w:rFonts w:ascii="Times New Roman" w:hAnsi="Times New Roman" w:cs="Times New Roman"/>
        </w:rPr>
        <w:t>__________________________________</w:t>
      </w:r>
    </w:p>
    <w:p w14:paraId="4BC4244B" w14:textId="6C2B8543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Чёрный Артём Петрович</w:t>
      </w:r>
      <w:r w:rsidR="00666C54">
        <w:rPr>
          <w:rFonts w:ascii="Times New Roman" w:hAnsi="Times New Roman" w:cs="Times New Roman"/>
        </w:rPr>
        <w:t xml:space="preserve"> ________________________________________</w:t>
      </w:r>
    </w:p>
    <w:p w14:paraId="3EB13F17" w14:textId="14DCFC1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Кушникова Светлана Александровна</w:t>
      </w:r>
      <w:r w:rsidR="00666C54">
        <w:rPr>
          <w:rFonts w:ascii="Times New Roman" w:hAnsi="Times New Roman" w:cs="Times New Roman"/>
        </w:rPr>
        <w:t>______________________________</w:t>
      </w:r>
      <w:r w:rsidRPr="0047004A">
        <w:rPr>
          <w:rFonts w:ascii="Times New Roman" w:hAnsi="Times New Roman" w:cs="Times New Roman"/>
        </w:rPr>
        <w:t xml:space="preserve"> </w:t>
      </w:r>
    </w:p>
    <w:p w14:paraId="30CE3A23" w14:textId="7291CFA2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Усатова Надежда Владимировна</w:t>
      </w:r>
      <w:r w:rsidR="00666C54">
        <w:rPr>
          <w:rFonts w:ascii="Times New Roman" w:hAnsi="Times New Roman" w:cs="Times New Roman"/>
        </w:rPr>
        <w:t>__________________________________</w:t>
      </w:r>
      <w:r w:rsidRPr="0047004A">
        <w:rPr>
          <w:rFonts w:ascii="Times New Roman" w:hAnsi="Times New Roman" w:cs="Times New Roman"/>
        </w:rPr>
        <w:t xml:space="preserve">        </w:t>
      </w:r>
    </w:p>
    <w:p w14:paraId="7ECEF541" w14:textId="4BE04E6F" w:rsidR="0047004A" w:rsidRPr="0047004A" w:rsidRDefault="0047004A" w:rsidP="0047004A">
      <w:pPr>
        <w:shd w:val="clear" w:color="auto" w:fill="FFFFFF" w:themeFill="background1"/>
        <w:spacing w:after="0" w:line="240" w:lineRule="auto"/>
        <w:jc w:val="both"/>
      </w:pPr>
      <w:r w:rsidRPr="0047004A">
        <w:t xml:space="preserve">                       </w:t>
      </w:r>
    </w:p>
    <w:p w14:paraId="618BC75F" w14:textId="64A3A856" w:rsidR="00222E03" w:rsidRDefault="0047004A" w:rsidP="0047004A">
      <w:pPr>
        <w:pStyle w:val="a5"/>
        <w:shd w:val="clear" w:color="auto" w:fill="FFFFFF" w:themeFill="background1"/>
        <w:spacing w:after="0" w:line="240" w:lineRule="auto"/>
        <w:ind w:left="0" w:firstLine="708"/>
        <w:jc w:val="both"/>
      </w:pPr>
      <w:r w:rsidRPr="0047004A">
        <w:rPr>
          <w:rFonts w:ascii="Times New Roman" w:hAnsi="Times New Roman" w:cs="Times New Roman"/>
        </w:rPr>
        <w:t xml:space="preserve">Секретарь комиссии: </w:t>
      </w:r>
      <w:r w:rsidRPr="00053420">
        <w:rPr>
          <w:rFonts w:ascii="Times New Roman" w:hAnsi="Times New Roman" w:cs="Times New Roman"/>
          <w:highlight w:val="black"/>
        </w:rPr>
        <w:t>Кулешова Юлия Римантовна</w:t>
      </w:r>
      <w:r w:rsidRPr="0047004A">
        <w:rPr>
          <w:rFonts w:ascii="Times New Roman" w:hAnsi="Times New Roman" w:cs="Times New Roman"/>
        </w:rPr>
        <w:t xml:space="preserve"> ______________________</w:t>
      </w:r>
    </w:p>
    <w:p w14:paraId="3B63C56B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033DDBB0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77777777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4195B30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Президент                                                                  </w:t>
      </w:r>
      <w:r>
        <w:rPr>
          <w:sz w:val="22"/>
          <w:szCs w:val="22"/>
        </w:rPr>
        <w:t xml:space="preserve">       </w:t>
      </w:r>
      <w:r w:rsidR="0087045C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М.А. Стулова</w:t>
      </w:r>
    </w:p>
    <w:p w14:paraId="3D0A2C8F" w14:textId="77777777" w:rsidR="00C86088" w:rsidRPr="00222E03" w:rsidRDefault="00C86088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sectPr w:rsidR="00C86088" w:rsidRPr="00222E03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53420"/>
    <w:rsid w:val="0006404F"/>
    <w:rsid w:val="000F72BB"/>
    <w:rsid w:val="001500C2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33684C"/>
    <w:rsid w:val="0036297F"/>
    <w:rsid w:val="00420E68"/>
    <w:rsid w:val="0047004A"/>
    <w:rsid w:val="00476125"/>
    <w:rsid w:val="00482560"/>
    <w:rsid w:val="004E225E"/>
    <w:rsid w:val="00544252"/>
    <w:rsid w:val="00551F5D"/>
    <w:rsid w:val="005B4028"/>
    <w:rsid w:val="005E0156"/>
    <w:rsid w:val="00600B7E"/>
    <w:rsid w:val="00666C54"/>
    <w:rsid w:val="006B3622"/>
    <w:rsid w:val="006B6A13"/>
    <w:rsid w:val="006C1294"/>
    <w:rsid w:val="00730D77"/>
    <w:rsid w:val="00743B61"/>
    <w:rsid w:val="008371EE"/>
    <w:rsid w:val="008546FA"/>
    <w:rsid w:val="0087045C"/>
    <w:rsid w:val="00890594"/>
    <w:rsid w:val="00891507"/>
    <w:rsid w:val="008E0500"/>
    <w:rsid w:val="00927F23"/>
    <w:rsid w:val="00A06E77"/>
    <w:rsid w:val="00A73FEF"/>
    <w:rsid w:val="00A92AB4"/>
    <w:rsid w:val="00AD13F8"/>
    <w:rsid w:val="00BC6993"/>
    <w:rsid w:val="00BD4CA5"/>
    <w:rsid w:val="00C86088"/>
    <w:rsid w:val="00C91D78"/>
    <w:rsid w:val="00CD2896"/>
    <w:rsid w:val="00CD36BB"/>
    <w:rsid w:val="00D30637"/>
    <w:rsid w:val="00D9060C"/>
    <w:rsid w:val="00DE5489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mnp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F435-0A0F-411A-9B31-1C884253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2024-01-12T10:46:00Z</cp:lastPrinted>
  <dcterms:created xsi:type="dcterms:W3CDTF">2024-01-22T09:36:00Z</dcterms:created>
  <dcterms:modified xsi:type="dcterms:W3CDTF">2024-01-22T09:36:00Z</dcterms:modified>
</cp:coreProperties>
</file>